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687959" w:rsidRPr="00687959">
        <w:rPr>
          <w:rFonts w:cs="Arial"/>
          <w:sz w:val="28"/>
          <w:szCs w:val="28"/>
        </w:rPr>
        <w:t>Steile Straße</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5"/>
        <w:gridCol w:w="6597"/>
      </w:tblGrid>
      <w:tr w:rsidR="00687959" w:rsidTr="00687959">
        <w:tc>
          <w:tcPr>
            <w:tcW w:w="2465" w:type="dxa"/>
            <w:tcBorders>
              <w:top w:val="single" w:sz="4" w:space="0" w:color="auto"/>
              <w:left w:val="single" w:sz="4" w:space="0" w:color="auto"/>
              <w:bottom w:val="dotted" w:sz="4" w:space="0" w:color="auto"/>
              <w:right w:val="dotted" w:sz="4" w:space="0" w:color="auto"/>
            </w:tcBorders>
            <w:vAlign w:val="center"/>
            <w:hideMark/>
          </w:tcPr>
          <w:p w:rsidR="00687959" w:rsidRDefault="00687959">
            <w:pPr>
              <w:pStyle w:val="IQB-Merkmal"/>
              <w:rPr>
                <w:rFonts w:cs="Arial"/>
              </w:rPr>
            </w:pPr>
            <w:r>
              <w:rPr>
                <w:rFonts w:cs="Arial"/>
              </w:rPr>
              <w:t>Leitidee</w:t>
            </w:r>
          </w:p>
        </w:tc>
        <w:tc>
          <w:tcPr>
            <w:tcW w:w="6597" w:type="dxa"/>
            <w:tcBorders>
              <w:top w:val="single" w:sz="4" w:space="0" w:color="auto"/>
              <w:left w:val="dotted" w:sz="4" w:space="0" w:color="auto"/>
              <w:bottom w:val="dotted" w:sz="4" w:space="0" w:color="auto"/>
              <w:right w:val="single" w:sz="4" w:space="0" w:color="auto"/>
            </w:tcBorders>
            <w:hideMark/>
          </w:tcPr>
          <w:p w:rsidR="00687959" w:rsidRDefault="00687959">
            <w:pPr>
              <w:pStyle w:val="IQB-Merkmalswert"/>
              <w:rPr>
                <w:rFonts w:cs="Arial"/>
              </w:rPr>
            </w:pPr>
            <w:r>
              <w:rPr>
                <w:rFonts w:cs="Arial"/>
              </w:rPr>
              <w:t>1. Zahl</w:t>
            </w:r>
          </w:p>
        </w:tc>
      </w:tr>
      <w:tr w:rsidR="00687959" w:rsidTr="00687959">
        <w:tc>
          <w:tcPr>
            <w:tcW w:w="2465" w:type="dxa"/>
            <w:tcBorders>
              <w:top w:val="dotted" w:sz="4" w:space="0" w:color="auto"/>
              <w:left w:val="single" w:sz="4" w:space="0" w:color="auto"/>
              <w:bottom w:val="dotted" w:sz="4" w:space="0" w:color="auto"/>
              <w:right w:val="dotted" w:sz="4" w:space="0" w:color="auto"/>
            </w:tcBorders>
            <w:vAlign w:val="center"/>
            <w:hideMark/>
          </w:tcPr>
          <w:p w:rsidR="00687959" w:rsidRDefault="00687959">
            <w:pPr>
              <w:pStyle w:val="IQB-Merkmal"/>
              <w:rPr>
                <w:rFonts w:cs="Arial"/>
              </w:rPr>
            </w:pPr>
            <w:r>
              <w:rPr>
                <w:rFonts w:cs="Arial"/>
              </w:rPr>
              <w:t>Allgemeine Kompetenzen</w:t>
            </w:r>
          </w:p>
        </w:tc>
        <w:tc>
          <w:tcPr>
            <w:tcW w:w="6597" w:type="dxa"/>
            <w:tcBorders>
              <w:top w:val="dotted" w:sz="4" w:space="0" w:color="auto"/>
              <w:left w:val="dotted" w:sz="4" w:space="0" w:color="auto"/>
              <w:bottom w:val="dotted" w:sz="4" w:space="0" w:color="auto"/>
              <w:right w:val="single" w:sz="4" w:space="0" w:color="auto"/>
            </w:tcBorders>
            <w:hideMark/>
          </w:tcPr>
          <w:p w:rsidR="00687959" w:rsidRDefault="00687959">
            <w:pPr>
              <w:pStyle w:val="IQB-Merkmalswert"/>
              <w:rPr>
                <w:rFonts w:cs="Arial"/>
              </w:rPr>
            </w:pPr>
            <w:r>
              <w:rPr>
                <w:rFonts w:cs="Arial"/>
              </w:rPr>
              <w:t>Mathematisch modellieren (K3)</w:t>
            </w:r>
          </w:p>
          <w:p w:rsidR="00687959" w:rsidRDefault="00687959">
            <w:pPr>
              <w:pStyle w:val="IQB-Merkmalswert"/>
              <w:rPr>
                <w:rFonts w:cs="Arial"/>
              </w:rPr>
            </w:pPr>
            <w:r>
              <w:rPr>
                <w:rFonts w:cs="Arial"/>
              </w:rPr>
              <w:t xml:space="preserve">Mathematische Darstellungen verwenden (K4) </w:t>
            </w:r>
          </w:p>
          <w:p w:rsidR="00687959" w:rsidRDefault="00687959">
            <w:pPr>
              <w:pStyle w:val="IQB-Merkmalswert"/>
              <w:rPr>
                <w:rFonts w:cs="Arial"/>
              </w:rPr>
            </w:pPr>
            <w:r>
              <w:rPr>
                <w:rFonts w:cs="Arial"/>
              </w:rPr>
              <w:t>Mathematisch kommunizieren (K6)</w:t>
            </w:r>
          </w:p>
        </w:tc>
      </w:tr>
      <w:tr w:rsidR="00687959" w:rsidTr="00687959">
        <w:tc>
          <w:tcPr>
            <w:tcW w:w="2465" w:type="dxa"/>
            <w:tcBorders>
              <w:top w:val="dotted" w:sz="4" w:space="0" w:color="auto"/>
              <w:left w:val="single" w:sz="4" w:space="0" w:color="auto"/>
              <w:bottom w:val="dotted" w:sz="4" w:space="0" w:color="auto"/>
              <w:right w:val="dotted" w:sz="4" w:space="0" w:color="auto"/>
            </w:tcBorders>
            <w:vAlign w:val="center"/>
            <w:hideMark/>
          </w:tcPr>
          <w:p w:rsidR="00687959" w:rsidRDefault="00687959">
            <w:pPr>
              <w:pStyle w:val="IQB-Merkmal"/>
              <w:rPr>
                <w:rFonts w:cs="Arial"/>
              </w:rPr>
            </w:pPr>
            <w:r>
              <w:rPr>
                <w:rFonts w:cs="Arial"/>
              </w:rPr>
              <w:t>Anforderungsbereich</w:t>
            </w:r>
          </w:p>
        </w:tc>
        <w:tc>
          <w:tcPr>
            <w:tcW w:w="6597" w:type="dxa"/>
            <w:tcBorders>
              <w:top w:val="dotted" w:sz="4" w:space="0" w:color="auto"/>
              <w:left w:val="dotted" w:sz="4" w:space="0" w:color="auto"/>
              <w:bottom w:val="dotted" w:sz="4" w:space="0" w:color="auto"/>
              <w:right w:val="single" w:sz="4" w:space="0" w:color="auto"/>
            </w:tcBorders>
            <w:hideMark/>
          </w:tcPr>
          <w:p w:rsidR="00687959" w:rsidRDefault="00687959">
            <w:pPr>
              <w:pStyle w:val="IQB-Merkmalswert"/>
              <w:rPr>
                <w:rFonts w:cs="Arial"/>
              </w:rPr>
            </w:pPr>
            <w:r>
              <w:rPr>
                <w:rFonts w:cs="Arial"/>
              </w:rPr>
              <w:t>II</w:t>
            </w:r>
          </w:p>
        </w:tc>
      </w:tr>
      <w:tr w:rsidR="00687959" w:rsidTr="00687959">
        <w:tc>
          <w:tcPr>
            <w:tcW w:w="2465" w:type="dxa"/>
            <w:tcBorders>
              <w:top w:val="dotted" w:sz="4" w:space="0" w:color="auto"/>
              <w:left w:val="single" w:sz="4" w:space="0" w:color="auto"/>
              <w:bottom w:val="single" w:sz="4" w:space="0" w:color="auto"/>
              <w:right w:val="dotted" w:sz="4" w:space="0" w:color="auto"/>
            </w:tcBorders>
            <w:vAlign w:val="center"/>
            <w:hideMark/>
          </w:tcPr>
          <w:p w:rsidR="00687959" w:rsidRDefault="00687959">
            <w:pPr>
              <w:pStyle w:val="IQB-Merkmal"/>
              <w:rPr>
                <w:rFonts w:cs="Arial"/>
              </w:rPr>
            </w:pPr>
            <w:r>
              <w:rPr>
                <w:rFonts w:cs="Arial"/>
              </w:rPr>
              <w:t>Kompetenzstufe</w:t>
            </w:r>
          </w:p>
        </w:tc>
        <w:tc>
          <w:tcPr>
            <w:tcW w:w="6597" w:type="dxa"/>
            <w:tcBorders>
              <w:top w:val="dotted" w:sz="4" w:space="0" w:color="auto"/>
              <w:left w:val="dotted" w:sz="4" w:space="0" w:color="auto"/>
              <w:bottom w:val="single" w:sz="4" w:space="0" w:color="auto"/>
              <w:right w:val="single" w:sz="4" w:space="0" w:color="auto"/>
            </w:tcBorders>
            <w:hideMark/>
          </w:tcPr>
          <w:p w:rsidR="00687959" w:rsidRDefault="00687959">
            <w:pPr>
              <w:pStyle w:val="IQB-Merkmalswert"/>
              <w:rPr>
                <w:rFonts w:cs="Arial"/>
              </w:rPr>
            </w:pPr>
            <w:r>
              <w:rPr>
                <w:rFonts w:cs="Arial"/>
              </w:rPr>
              <w:t>4</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687959" w:rsidTr="00687959">
        <w:tc>
          <w:tcPr>
            <w:tcW w:w="2466" w:type="dxa"/>
            <w:tcBorders>
              <w:top w:val="single" w:sz="4" w:space="0" w:color="auto"/>
              <w:left w:val="single" w:sz="4" w:space="0" w:color="auto"/>
              <w:bottom w:val="dotted" w:sz="4" w:space="0" w:color="auto"/>
              <w:right w:val="dotted" w:sz="4" w:space="0" w:color="auto"/>
            </w:tcBorders>
            <w:vAlign w:val="center"/>
            <w:hideMark/>
          </w:tcPr>
          <w:p w:rsidR="00687959" w:rsidRDefault="00687959">
            <w:pPr>
              <w:pStyle w:val="IQB-Merkmal"/>
              <w:rPr>
                <w:rFonts w:cs="Arial"/>
              </w:rPr>
            </w:pPr>
            <w:r>
              <w:rPr>
                <w:rFonts w:cs="Arial"/>
              </w:rPr>
              <w:t>Leitidee</w:t>
            </w:r>
          </w:p>
        </w:tc>
        <w:tc>
          <w:tcPr>
            <w:tcW w:w="6604" w:type="dxa"/>
            <w:tcBorders>
              <w:top w:val="single" w:sz="4" w:space="0" w:color="auto"/>
              <w:left w:val="dotted" w:sz="4" w:space="0" w:color="auto"/>
              <w:bottom w:val="dotted" w:sz="4" w:space="0" w:color="auto"/>
              <w:right w:val="single" w:sz="4" w:space="0" w:color="auto"/>
            </w:tcBorders>
            <w:hideMark/>
          </w:tcPr>
          <w:p w:rsidR="00687959" w:rsidRDefault="00687959">
            <w:pPr>
              <w:pStyle w:val="IQB-Merkmalswert"/>
              <w:rPr>
                <w:rFonts w:cs="Arial"/>
              </w:rPr>
            </w:pPr>
            <w:r>
              <w:rPr>
                <w:rFonts w:cs="Arial"/>
              </w:rPr>
              <w:t>1. Zahl</w:t>
            </w:r>
          </w:p>
        </w:tc>
      </w:tr>
      <w:tr w:rsidR="00687959" w:rsidTr="00687959">
        <w:tc>
          <w:tcPr>
            <w:tcW w:w="2466" w:type="dxa"/>
            <w:tcBorders>
              <w:top w:val="dotted" w:sz="4" w:space="0" w:color="auto"/>
              <w:left w:val="single" w:sz="4" w:space="0" w:color="auto"/>
              <w:bottom w:val="dotted" w:sz="4" w:space="0" w:color="auto"/>
              <w:right w:val="dotted" w:sz="4" w:space="0" w:color="auto"/>
            </w:tcBorders>
            <w:vAlign w:val="center"/>
            <w:hideMark/>
          </w:tcPr>
          <w:p w:rsidR="00687959" w:rsidRDefault="00687959">
            <w:pPr>
              <w:pStyle w:val="IQB-Merkmal"/>
              <w:rPr>
                <w:rFonts w:cs="Arial"/>
              </w:rPr>
            </w:pPr>
            <w:r>
              <w:rPr>
                <w:rFonts w:cs="Arial"/>
              </w:rPr>
              <w:t>Allgemeine Kompetenzen</w:t>
            </w:r>
          </w:p>
        </w:tc>
        <w:tc>
          <w:tcPr>
            <w:tcW w:w="6604" w:type="dxa"/>
            <w:tcBorders>
              <w:top w:val="dotted" w:sz="4" w:space="0" w:color="auto"/>
              <w:left w:val="dotted" w:sz="4" w:space="0" w:color="auto"/>
              <w:bottom w:val="dotted" w:sz="4" w:space="0" w:color="auto"/>
              <w:right w:val="single" w:sz="4" w:space="0" w:color="auto"/>
            </w:tcBorders>
            <w:hideMark/>
          </w:tcPr>
          <w:p w:rsidR="00687959" w:rsidRDefault="00687959">
            <w:pPr>
              <w:pStyle w:val="IQB-Merkmalswert"/>
              <w:rPr>
                <w:rFonts w:cs="Arial"/>
              </w:rPr>
            </w:pPr>
            <w:r>
              <w:rPr>
                <w:rFonts w:cs="Arial"/>
              </w:rPr>
              <w:t>Mathematisch modellieren (K3)</w:t>
            </w:r>
          </w:p>
          <w:p w:rsidR="00687959" w:rsidRDefault="00687959">
            <w:pPr>
              <w:pStyle w:val="IQB-Merkmalswert"/>
              <w:rPr>
                <w:rFonts w:cs="Arial"/>
              </w:rPr>
            </w:pPr>
            <w:r>
              <w:rPr>
                <w:rFonts w:cs="Arial"/>
              </w:rPr>
              <w:t>Mathematische Darstellungen verwenden (K4)</w:t>
            </w:r>
          </w:p>
          <w:p w:rsidR="00687959" w:rsidRDefault="00687959">
            <w:pPr>
              <w:pStyle w:val="IQB-Merkmalswert"/>
              <w:rPr>
                <w:rFonts w:cs="Arial"/>
              </w:rPr>
            </w:pPr>
            <w:r>
              <w:rPr>
                <w:rFonts w:cs="Arial"/>
              </w:rPr>
              <w:t xml:space="preserve">Mit symbolischen, formalen und technischen Elementen der Mathematik umgehen (K5) </w:t>
            </w:r>
          </w:p>
          <w:p w:rsidR="00687959" w:rsidRDefault="00687959">
            <w:pPr>
              <w:pStyle w:val="IQB-Merkmalswert"/>
              <w:rPr>
                <w:rFonts w:cs="Arial"/>
              </w:rPr>
            </w:pPr>
            <w:r>
              <w:rPr>
                <w:rFonts w:cs="Arial"/>
              </w:rPr>
              <w:t>Mathematisch kommunizieren (K6)</w:t>
            </w:r>
          </w:p>
        </w:tc>
      </w:tr>
      <w:tr w:rsidR="00687959" w:rsidTr="00687959">
        <w:tc>
          <w:tcPr>
            <w:tcW w:w="2466" w:type="dxa"/>
            <w:tcBorders>
              <w:top w:val="dotted" w:sz="4" w:space="0" w:color="auto"/>
              <w:left w:val="single" w:sz="4" w:space="0" w:color="auto"/>
              <w:bottom w:val="dotted" w:sz="4" w:space="0" w:color="auto"/>
              <w:right w:val="dotted" w:sz="4" w:space="0" w:color="auto"/>
            </w:tcBorders>
            <w:vAlign w:val="center"/>
            <w:hideMark/>
          </w:tcPr>
          <w:p w:rsidR="00687959" w:rsidRDefault="00687959">
            <w:pPr>
              <w:pStyle w:val="IQB-Merkmal"/>
              <w:rPr>
                <w:rFonts w:cs="Arial"/>
              </w:rPr>
            </w:pPr>
            <w:r>
              <w:rPr>
                <w:rFonts w:cs="Arial"/>
              </w:rPr>
              <w:t>Anforderungsbereich</w:t>
            </w:r>
          </w:p>
        </w:tc>
        <w:tc>
          <w:tcPr>
            <w:tcW w:w="6604" w:type="dxa"/>
            <w:tcBorders>
              <w:top w:val="dotted" w:sz="4" w:space="0" w:color="auto"/>
              <w:left w:val="dotted" w:sz="4" w:space="0" w:color="auto"/>
              <w:bottom w:val="dotted" w:sz="4" w:space="0" w:color="auto"/>
              <w:right w:val="single" w:sz="4" w:space="0" w:color="auto"/>
            </w:tcBorders>
            <w:hideMark/>
          </w:tcPr>
          <w:p w:rsidR="00687959" w:rsidRDefault="00687959">
            <w:pPr>
              <w:pStyle w:val="IQB-Merkmalswert"/>
              <w:rPr>
                <w:rFonts w:cs="Arial"/>
              </w:rPr>
            </w:pPr>
            <w:r>
              <w:rPr>
                <w:rFonts w:cs="Arial"/>
              </w:rPr>
              <w:t>II</w:t>
            </w:r>
          </w:p>
        </w:tc>
      </w:tr>
      <w:tr w:rsidR="00687959" w:rsidTr="00687959">
        <w:tc>
          <w:tcPr>
            <w:tcW w:w="2466" w:type="dxa"/>
            <w:tcBorders>
              <w:top w:val="dotted" w:sz="4" w:space="0" w:color="auto"/>
              <w:left w:val="single" w:sz="4" w:space="0" w:color="auto"/>
              <w:bottom w:val="single" w:sz="4" w:space="0" w:color="auto"/>
              <w:right w:val="dotted" w:sz="4" w:space="0" w:color="auto"/>
            </w:tcBorders>
            <w:vAlign w:val="center"/>
            <w:hideMark/>
          </w:tcPr>
          <w:p w:rsidR="00687959" w:rsidRDefault="00687959">
            <w:pPr>
              <w:pStyle w:val="IQB-Merkmal"/>
              <w:rPr>
                <w:rFonts w:cs="Arial"/>
              </w:rPr>
            </w:pPr>
            <w:r>
              <w:rPr>
                <w:rFonts w:cs="Arial"/>
              </w:rPr>
              <w:t>Kompetenzstufe</w:t>
            </w:r>
          </w:p>
        </w:tc>
        <w:tc>
          <w:tcPr>
            <w:tcW w:w="6604" w:type="dxa"/>
            <w:tcBorders>
              <w:top w:val="dotted" w:sz="4" w:space="0" w:color="auto"/>
              <w:left w:val="dotted" w:sz="4" w:space="0" w:color="auto"/>
              <w:bottom w:val="single" w:sz="4" w:space="0" w:color="auto"/>
              <w:right w:val="single" w:sz="4" w:space="0" w:color="auto"/>
            </w:tcBorders>
            <w:hideMark/>
          </w:tcPr>
          <w:p w:rsidR="00687959" w:rsidRDefault="00687959">
            <w:pPr>
              <w:pStyle w:val="IQB-Merkmalswert"/>
              <w:rPr>
                <w:rFonts w:cs="Arial"/>
              </w:rPr>
            </w:pPr>
            <w:r>
              <w:rPr>
                <w:rFonts w:cs="Arial"/>
              </w:rPr>
              <w:t>4</w:t>
            </w:r>
          </w:p>
        </w:tc>
      </w:tr>
    </w:tbl>
    <w:p w:rsidR="00687959" w:rsidRPr="00694A63" w:rsidRDefault="00687959" w:rsidP="00687959">
      <w:pPr>
        <w:pStyle w:val="IQB-Teilaufgabentitel"/>
        <w:rPr>
          <w:b/>
        </w:rPr>
      </w:pPr>
      <w:r w:rsidRPr="00694A63">
        <w:rPr>
          <w:b/>
        </w:rPr>
        <w:t>Merkmal</w:t>
      </w:r>
      <w:r>
        <w:rPr>
          <w:b/>
        </w:rPr>
        <w:t xml:space="preserve">e der Teilaufgabe </w:t>
      </w:r>
      <w:r>
        <w:rPr>
          <w:b/>
        </w:rPr>
        <w:t>3</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687959" w:rsidTr="00687959">
        <w:tc>
          <w:tcPr>
            <w:tcW w:w="2466" w:type="dxa"/>
            <w:tcBorders>
              <w:top w:val="single" w:sz="4" w:space="0" w:color="auto"/>
              <w:left w:val="single" w:sz="4" w:space="0" w:color="auto"/>
              <w:bottom w:val="dotted" w:sz="4" w:space="0" w:color="auto"/>
              <w:right w:val="dotted" w:sz="4" w:space="0" w:color="auto"/>
            </w:tcBorders>
            <w:vAlign w:val="center"/>
            <w:hideMark/>
          </w:tcPr>
          <w:p w:rsidR="00687959" w:rsidRDefault="00687959">
            <w:pPr>
              <w:pStyle w:val="IQB-Merkmal"/>
              <w:rPr>
                <w:rFonts w:cs="Arial"/>
              </w:rPr>
            </w:pPr>
            <w:r>
              <w:rPr>
                <w:rFonts w:cs="Arial"/>
              </w:rPr>
              <w:t>Leitidee</w:t>
            </w:r>
          </w:p>
        </w:tc>
        <w:tc>
          <w:tcPr>
            <w:tcW w:w="6604" w:type="dxa"/>
            <w:tcBorders>
              <w:top w:val="single" w:sz="4" w:space="0" w:color="auto"/>
              <w:left w:val="dotted" w:sz="4" w:space="0" w:color="auto"/>
              <w:bottom w:val="dotted" w:sz="4" w:space="0" w:color="auto"/>
              <w:right w:val="single" w:sz="4" w:space="0" w:color="auto"/>
            </w:tcBorders>
            <w:hideMark/>
          </w:tcPr>
          <w:p w:rsidR="00687959" w:rsidRDefault="00687959">
            <w:pPr>
              <w:pStyle w:val="IQB-Merkmalswert"/>
              <w:rPr>
                <w:rFonts w:cs="Arial"/>
              </w:rPr>
            </w:pPr>
            <w:r>
              <w:rPr>
                <w:rFonts w:cs="Arial"/>
              </w:rPr>
              <w:t>1. Zahl</w:t>
            </w:r>
          </w:p>
        </w:tc>
      </w:tr>
      <w:tr w:rsidR="00687959" w:rsidTr="00687959">
        <w:tc>
          <w:tcPr>
            <w:tcW w:w="2466" w:type="dxa"/>
            <w:tcBorders>
              <w:top w:val="dotted" w:sz="4" w:space="0" w:color="auto"/>
              <w:left w:val="single" w:sz="4" w:space="0" w:color="auto"/>
              <w:bottom w:val="dotted" w:sz="4" w:space="0" w:color="auto"/>
              <w:right w:val="dotted" w:sz="4" w:space="0" w:color="auto"/>
            </w:tcBorders>
            <w:vAlign w:val="center"/>
            <w:hideMark/>
          </w:tcPr>
          <w:p w:rsidR="00687959" w:rsidRDefault="00687959">
            <w:pPr>
              <w:pStyle w:val="IQB-Merkmal"/>
              <w:rPr>
                <w:rFonts w:cs="Arial"/>
              </w:rPr>
            </w:pPr>
            <w:r>
              <w:rPr>
                <w:rFonts w:cs="Arial"/>
              </w:rPr>
              <w:t>Allgemeine Kompetenzen</w:t>
            </w:r>
          </w:p>
        </w:tc>
        <w:tc>
          <w:tcPr>
            <w:tcW w:w="6604" w:type="dxa"/>
            <w:tcBorders>
              <w:top w:val="dotted" w:sz="4" w:space="0" w:color="auto"/>
              <w:left w:val="dotted" w:sz="4" w:space="0" w:color="auto"/>
              <w:bottom w:val="dotted" w:sz="4" w:space="0" w:color="auto"/>
              <w:right w:val="single" w:sz="4" w:space="0" w:color="auto"/>
            </w:tcBorders>
            <w:hideMark/>
          </w:tcPr>
          <w:p w:rsidR="00687959" w:rsidRDefault="00687959">
            <w:pPr>
              <w:pStyle w:val="IQB-Merkmalswert"/>
              <w:rPr>
                <w:rFonts w:cs="Arial"/>
              </w:rPr>
            </w:pPr>
            <w:r>
              <w:rPr>
                <w:rFonts w:cs="Arial"/>
              </w:rPr>
              <w:t>Probleme mathematisch lösen (K2)</w:t>
            </w:r>
          </w:p>
          <w:p w:rsidR="00687959" w:rsidRDefault="00687959">
            <w:pPr>
              <w:pStyle w:val="IQB-Merkmalswert"/>
              <w:rPr>
                <w:rFonts w:cs="Arial"/>
              </w:rPr>
            </w:pPr>
            <w:r>
              <w:rPr>
                <w:rFonts w:cs="Arial"/>
              </w:rPr>
              <w:t>Mathematische Darstellungen verwenden (K4)</w:t>
            </w:r>
          </w:p>
          <w:p w:rsidR="00687959" w:rsidRDefault="00687959">
            <w:pPr>
              <w:pStyle w:val="IQB-Merkmalswert"/>
              <w:rPr>
                <w:rFonts w:cs="Arial"/>
              </w:rPr>
            </w:pPr>
            <w:r>
              <w:rPr>
                <w:rFonts w:cs="Arial"/>
              </w:rPr>
              <w:t>Mathematisch kommunizieren (K6)</w:t>
            </w:r>
          </w:p>
        </w:tc>
      </w:tr>
      <w:tr w:rsidR="00687959" w:rsidTr="00687959">
        <w:tc>
          <w:tcPr>
            <w:tcW w:w="2466" w:type="dxa"/>
            <w:tcBorders>
              <w:top w:val="dotted" w:sz="4" w:space="0" w:color="auto"/>
              <w:left w:val="single" w:sz="4" w:space="0" w:color="auto"/>
              <w:bottom w:val="dotted" w:sz="4" w:space="0" w:color="auto"/>
              <w:right w:val="dotted" w:sz="4" w:space="0" w:color="auto"/>
            </w:tcBorders>
            <w:vAlign w:val="center"/>
            <w:hideMark/>
          </w:tcPr>
          <w:p w:rsidR="00687959" w:rsidRDefault="00687959">
            <w:pPr>
              <w:pStyle w:val="IQB-Merkmal"/>
              <w:rPr>
                <w:rFonts w:cs="Arial"/>
              </w:rPr>
            </w:pPr>
            <w:r>
              <w:rPr>
                <w:rFonts w:cs="Arial"/>
              </w:rPr>
              <w:t>Anforderungsbereich</w:t>
            </w:r>
          </w:p>
        </w:tc>
        <w:tc>
          <w:tcPr>
            <w:tcW w:w="6604" w:type="dxa"/>
            <w:tcBorders>
              <w:top w:val="dotted" w:sz="4" w:space="0" w:color="auto"/>
              <w:left w:val="dotted" w:sz="4" w:space="0" w:color="auto"/>
              <w:bottom w:val="dotted" w:sz="4" w:space="0" w:color="auto"/>
              <w:right w:val="single" w:sz="4" w:space="0" w:color="auto"/>
            </w:tcBorders>
            <w:hideMark/>
          </w:tcPr>
          <w:p w:rsidR="00687959" w:rsidRDefault="00687959">
            <w:pPr>
              <w:pStyle w:val="IQB-Merkmalswert"/>
              <w:rPr>
                <w:rFonts w:cs="Arial"/>
              </w:rPr>
            </w:pPr>
            <w:r>
              <w:rPr>
                <w:rFonts w:cs="Arial"/>
              </w:rPr>
              <w:t>II</w:t>
            </w:r>
          </w:p>
        </w:tc>
      </w:tr>
      <w:tr w:rsidR="00687959" w:rsidTr="00687959">
        <w:tc>
          <w:tcPr>
            <w:tcW w:w="2466" w:type="dxa"/>
            <w:tcBorders>
              <w:top w:val="dotted" w:sz="4" w:space="0" w:color="auto"/>
              <w:left w:val="single" w:sz="4" w:space="0" w:color="auto"/>
              <w:bottom w:val="single" w:sz="4" w:space="0" w:color="auto"/>
              <w:right w:val="dotted" w:sz="4" w:space="0" w:color="auto"/>
            </w:tcBorders>
            <w:vAlign w:val="center"/>
            <w:hideMark/>
          </w:tcPr>
          <w:p w:rsidR="00687959" w:rsidRDefault="00687959">
            <w:pPr>
              <w:pStyle w:val="IQB-Merkmal"/>
              <w:rPr>
                <w:rFonts w:cs="Arial"/>
              </w:rPr>
            </w:pPr>
            <w:r>
              <w:rPr>
                <w:rFonts w:cs="Arial"/>
              </w:rPr>
              <w:t>Kompetenzstufe</w:t>
            </w:r>
          </w:p>
        </w:tc>
        <w:tc>
          <w:tcPr>
            <w:tcW w:w="6604" w:type="dxa"/>
            <w:tcBorders>
              <w:top w:val="dotted" w:sz="4" w:space="0" w:color="auto"/>
              <w:left w:val="dotted" w:sz="4" w:space="0" w:color="auto"/>
              <w:bottom w:val="single" w:sz="4" w:space="0" w:color="auto"/>
              <w:right w:val="single" w:sz="4" w:space="0" w:color="auto"/>
            </w:tcBorders>
            <w:hideMark/>
          </w:tcPr>
          <w:p w:rsidR="00687959" w:rsidRDefault="00687959">
            <w:pPr>
              <w:pStyle w:val="IQB-Merkmalswert"/>
              <w:rPr>
                <w:rFonts w:cs="Arial"/>
              </w:rPr>
            </w:pPr>
            <w:r>
              <w:rPr>
                <w:rFonts w:cs="Arial"/>
              </w:rPr>
              <w:t>5</w:t>
            </w:r>
          </w:p>
        </w:tc>
      </w:tr>
    </w:tbl>
    <w:p w:rsidR="00694A63" w:rsidRPr="00694A63" w:rsidRDefault="00694A63" w:rsidP="00694A63">
      <w:pPr>
        <w:pStyle w:val="IQB-Teilaufgabentitel"/>
        <w:rPr>
          <w:b/>
        </w:rPr>
      </w:pPr>
      <w:r w:rsidRPr="00694A63">
        <w:rPr>
          <w:b/>
        </w:rPr>
        <w:t>Aufgabenbezogener Kommentar</w:t>
      </w:r>
    </w:p>
    <w:p w:rsidR="00687959" w:rsidRDefault="00687959" w:rsidP="00687959">
      <w:pPr>
        <w:pStyle w:val="IQB-AnweisungenText"/>
        <w:spacing w:before="0"/>
        <w:rPr>
          <w:rFonts w:ascii="Arial" w:hAnsi="Arial"/>
          <w:sz w:val="22"/>
          <w:szCs w:val="22"/>
        </w:rPr>
      </w:pPr>
      <w:r>
        <w:rPr>
          <w:rFonts w:ascii="Arial" w:hAnsi="Arial"/>
          <w:sz w:val="22"/>
          <w:szCs w:val="22"/>
        </w:rPr>
        <w:t xml:space="preserve">Die Aufgabe ist der Leitidee </w:t>
      </w:r>
      <w:r>
        <w:rPr>
          <w:rFonts w:ascii="Arial" w:hAnsi="Arial"/>
          <w:i/>
          <w:sz w:val="22"/>
          <w:szCs w:val="22"/>
        </w:rPr>
        <w:t>Zahl</w:t>
      </w:r>
      <w:r>
        <w:rPr>
          <w:rFonts w:ascii="Arial" w:hAnsi="Arial"/>
          <w:sz w:val="22"/>
          <w:szCs w:val="22"/>
        </w:rPr>
        <w:t xml:space="preserve"> (L1) zuzuordnen, da Schülerinnen und Schüler Prozentrechnung sachgerecht verwenden (siehe hierzu auch die allgemeinen Erläuterungen zur Leitidee </w:t>
      </w:r>
      <w:r>
        <w:rPr>
          <w:rFonts w:ascii="Arial" w:hAnsi="Arial"/>
          <w:i/>
          <w:sz w:val="22"/>
          <w:szCs w:val="22"/>
        </w:rPr>
        <w:t>Zahl</w:t>
      </w:r>
      <w:r>
        <w:rPr>
          <w:rFonts w:ascii="Arial" w:hAnsi="Arial"/>
          <w:sz w:val="22"/>
          <w:szCs w:val="22"/>
        </w:rPr>
        <w:t>).</w:t>
      </w:r>
    </w:p>
    <w:p w:rsidR="00687959" w:rsidRDefault="00687959" w:rsidP="00687959">
      <w:pPr>
        <w:pStyle w:val="IQB-AnweisungenText"/>
        <w:rPr>
          <w:rFonts w:ascii="Arial" w:hAnsi="Arial"/>
          <w:sz w:val="22"/>
          <w:szCs w:val="22"/>
        </w:rPr>
      </w:pPr>
      <w:r>
        <w:rPr>
          <w:rFonts w:ascii="Arial" w:hAnsi="Arial"/>
          <w:sz w:val="22"/>
          <w:szCs w:val="22"/>
        </w:rPr>
        <w:t xml:space="preserve">Zunächst werden dem Eingangstext die nötigen Informationen entnommen, insbesondere die Erläuterung, was </w:t>
      </w:r>
      <w:r>
        <w:rPr>
          <w:rFonts w:ascii="Arial" w:hAnsi="Arial"/>
          <w:i/>
          <w:sz w:val="22"/>
          <w:szCs w:val="22"/>
        </w:rPr>
        <w:t>x</w:t>
      </w:r>
      <w:r>
        <w:rPr>
          <w:rFonts w:ascii="Arial" w:hAnsi="Arial"/>
          <w:sz w:val="22"/>
          <w:szCs w:val="22"/>
        </w:rPr>
        <w:t xml:space="preserve"> % Gefälle bedeutet.</w:t>
      </w:r>
    </w:p>
    <w:p w:rsidR="00687959" w:rsidRDefault="00687959" w:rsidP="00687959">
      <w:pPr>
        <w:pStyle w:val="IQB-AnweisungenText"/>
        <w:rPr>
          <w:rFonts w:ascii="Arial" w:hAnsi="Arial"/>
          <w:sz w:val="22"/>
          <w:szCs w:val="22"/>
        </w:rPr>
      </w:pPr>
      <w:r>
        <w:rPr>
          <w:rFonts w:ascii="Arial" w:hAnsi="Arial"/>
          <w:sz w:val="22"/>
          <w:szCs w:val="22"/>
        </w:rPr>
        <w:t xml:space="preserve">Auch aus den Aufgabentexten und den Zeichnungen werden die relevanten Informationen herausgefiltert. Schließlich wird in Teilaufgabe 3 ein Lösungsweg dokumentiert. Dies erfordert jeweils die Kompetenz </w:t>
      </w:r>
      <w:r>
        <w:rPr>
          <w:rFonts w:ascii="Arial" w:hAnsi="Arial"/>
          <w:i/>
          <w:sz w:val="22"/>
          <w:szCs w:val="22"/>
        </w:rPr>
        <w:t>Mathematisch kommunizieren</w:t>
      </w:r>
      <w:r>
        <w:rPr>
          <w:rFonts w:ascii="Arial" w:hAnsi="Arial"/>
          <w:sz w:val="22"/>
          <w:szCs w:val="22"/>
        </w:rPr>
        <w:t xml:space="preserve"> (K6).</w:t>
      </w:r>
    </w:p>
    <w:p w:rsidR="00687959" w:rsidRDefault="00687959" w:rsidP="00687959">
      <w:pPr>
        <w:pStyle w:val="IQB-AnweisungenText"/>
        <w:rPr>
          <w:rFonts w:ascii="Arial" w:hAnsi="Arial"/>
          <w:sz w:val="22"/>
          <w:szCs w:val="22"/>
        </w:rPr>
      </w:pPr>
      <w:r>
        <w:rPr>
          <w:rFonts w:ascii="Arial" w:hAnsi="Arial"/>
          <w:sz w:val="22"/>
          <w:szCs w:val="22"/>
        </w:rPr>
        <w:t xml:space="preserve">In Teilaufgabe 1 und 2 wird zwischen außermathematischen Realsituationen (der Straße zwischen zwei Orten) und mathematischen Begriffen, Resultaten und Methoden (Höhenunterschied, Prozentrechnung) hin- und hergewechselt. Das gegebene Modell (das Dreieck als Modellierung des Straßenanstiegs) muss verstanden und in einer konkreten Realsituation angewandt werden. Daher erfordern die ersten beiden Teilaufgaben die Kompetenz </w:t>
      </w:r>
      <w:r>
        <w:rPr>
          <w:rFonts w:ascii="Arial" w:hAnsi="Arial"/>
          <w:i/>
          <w:sz w:val="22"/>
          <w:szCs w:val="22"/>
        </w:rPr>
        <w:t>Mathematisch modellieren</w:t>
      </w:r>
      <w:r>
        <w:rPr>
          <w:rFonts w:ascii="Arial" w:hAnsi="Arial"/>
          <w:sz w:val="22"/>
          <w:szCs w:val="22"/>
        </w:rPr>
        <w:t xml:space="preserve"> (K3). Da bei Teilaufgabe 2 zudem Operationen mit Zahlen und an geometrischen Objekten, nämlich am Dreieck, gefordert sind, wird auch noch die Kompetenz </w:t>
      </w:r>
      <w:r>
        <w:rPr>
          <w:rFonts w:ascii="Arial" w:hAnsi="Arial"/>
          <w:i/>
          <w:sz w:val="22"/>
          <w:szCs w:val="22"/>
        </w:rPr>
        <w:t>Mit symbolischen, formalen und technischen Elementen der Mathematik umgehen</w:t>
      </w:r>
      <w:r>
        <w:rPr>
          <w:rFonts w:ascii="Arial" w:hAnsi="Arial"/>
          <w:sz w:val="22"/>
          <w:szCs w:val="22"/>
        </w:rPr>
        <w:t xml:space="preserve"> (K5) gefordert. Bei Teilaufgabe 3 wird dann zusätzlich zu den in den vorherigen Teilaufgaben bereits verwendeten Größen ein Winkel betrachtet. Zur Lösung der Teilaufgabe müssen Schülerinnen und Schüler einen geeigneten Lösungsweg oder eine geeignete Lösungsstrategie finden und anwenden. Somit wird die </w:t>
      </w:r>
      <w:r>
        <w:rPr>
          <w:rFonts w:ascii="Arial" w:hAnsi="Arial"/>
          <w:sz w:val="22"/>
          <w:szCs w:val="22"/>
        </w:rPr>
        <w:lastRenderedPageBreak/>
        <w:t xml:space="preserve">Kompetenz </w:t>
      </w:r>
      <w:r>
        <w:rPr>
          <w:rFonts w:ascii="Arial" w:hAnsi="Arial"/>
          <w:i/>
          <w:sz w:val="22"/>
          <w:szCs w:val="22"/>
        </w:rPr>
        <w:t>Probleme mathematisch lösen</w:t>
      </w:r>
      <w:r>
        <w:rPr>
          <w:rFonts w:ascii="Arial" w:hAnsi="Arial"/>
          <w:sz w:val="22"/>
          <w:szCs w:val="22"/>
        </w:rPr>
        <w:t xml:space="preserve"> (K2) gefordert. Dabei wird die heuristische Strategie „Verwenden einer Skizze“ bereits durch die Abbildung nahegelegt. In allen Teilaufgaben wird eine mathematische Darstellung, das Steigungsdreieck, verwendet und interpretiert. Somit zielen alle Teilaufgaben auch auf die Kompetenz ab, mathematische Darstellungen zu verwenden (K4).</w:t>
      </w:r>
    </w:p>
    <w:p w:rsidR="00687959" w:rsidRDefault="00687959" w:rsidP="00687959">
      <w:pPr>
        <w:pStyle w:val="IQB-AnweisungenText"/>
        <w:rPr>
          <w:rFonts w:ascii="Arial" w:hAnsi="Arial"/>
          <w:sz w:val="22"/>
          <w:szCs w:val="22"/>
        </w:rPr>
      </w:pPr>
      <w:r>
        <w:rPr>
          <w:rFonts w:ascii="Arial" w:hAnsi="Arial"/>
          <w:sz w:val="22"/>
          <w:szCs w:val="22"/>
        </w:rPr>
        <w:t>Da alle drei Aufgabenteile ein mehrschrittiges Vorgehen erfordern und über einfache Routineaufgaben hinausgehen, sind die Aufgaben dem Anforderungsbereich II zuzuordnen.</w:t>
      </w:r>
    </w:p>
    <w:p w:rsidR="00694A63" w:rsidRPr="00694A63" w:rsidRDefault="00694A63" w:rsidP="00694A63">
      <w:pPr>
        <w:pStyle w:val="IQB-Teilaufgabentitel"/>
        <w:rPr>
          <w:b/>
        </w:rPr>
      </w:pPr>
      <w:r w:rsidRPr="00694A63">
        <w:rPr>
          <w:b/>
        </w:rPr>
        <w:t>Anregungen für den Unterricht</w:t>
      </w:r>
    </w:p>
    <w:p w:rsidR="00687959" w:rsidRDefault="00687959" w:rsidP="00687959">
      <w:pPr>
        <w:pStyle w:val="IQB-AnweisungenText"/>
        <w:spacing w:before="0"/>
        <w:rPr>
          <w:rFonts w:ascii="Arial" w:hAnsi="Arial"/>
          <w:sz w:val="22"/>
          <w:szCs w:val="22"/>
        </w:rPr>
      </w:pPr>
      <w:r>
        <w:rPr>
          <w:rFonts w:ascii="Arial" w:hAnsi="Arial"/>
          <w:sz w:val="22"/>
          <w:szCs w:val="22"/>
        </w:rPr>
        <w:t>Die Aufgabe „Steile Straße“ zeigt eine Möglichkeit an, wie der mathematische Steigungsbegriff im Unterricht eingeführt werden kann. Dieses Vorgehen bietet sich beispielsweise an, wenn Graphen linearer Funktionen thematisiert werden. Negative Änderungsraten von Graphen linearer Funktionen können mithilfe des Straßenschilds „Gefälle“ zunächst als Gefälle in Prozent interpretiert werden. Im Anschluss daran folgt die Angabe eines Gefälles als Winkel. Ebenso kann mit positiven Änderungsraten mithilfe des Straßenschilds „Steigung“ verfahren werden.</w:t>
      </w:r>
    </w:p>
    <w:p w:rsidR="00687959" w:rsidRDefault="00687959" w:rsidP="00687959">
      <w:pPr>
        <w:pStyle w:val="IQB-AnweisungenText"/>
        <w:rPr>
          <w:rFonts w:ascii="Arial" w:hAnsi="Arial"/>
        </w:rPr>
      </w:pPr>
      <w:r>
        <w:rPr>
          <w:rFonts w:ascii="Arial" w:hAnsi="Arial"/>
          <w:sz w:val="22"/>
          <w:szCs w:val="22"/>
        </w:rPr>
        <w:t>Der Begriff der durchschnittlichen Änderungsrate im mathematischen Sinne kann im Unterricht dann als eine Zusammenfassung dieser beiden Realitätsbezüge (Straßenschild Gefälle und Straßenschild Steigung) den Schülerinnen und Schülern nähergebracht werden. Sie können so den mathematischen Begriff der durchschnittlichen Änderungsrate als eine Zusammenfassung der beiden bereits quantifizierten Eigenschaften von Straßen, Gefälle und Steigung, verstehen. Weiterhin ist es sinnvoll, an dieser Stelle verschiedene Darstel</w:t>
      </w:r>
      <w:bookmarkStart w:id="0" w:name="_GoBack"/>
      <w:bookmarkEnd w:id="0"/>
      <w:r>
        <w:rPr>
          <w:rFonts w:ascii="Arial" w:hAnsi="Arial"/>
          <w:sz w:val="22"/>
          <w:szCs w:val="22"/>
        </w:rPr>
        <w:t xml:space="preserve">lungen des Steigungsbegriffs nebeneinanderzustellen und hier Vorteile der Darstellung als Zahl gegenüber der Darstellung als Winkel oder Prozentsatz zu verdeutlichen. </w:t>
      </w:r>
    </w:p>
    <w:p w:rsidR="00687959" w:rsidRDefault="00687959" w:rsidP="00687959">
      <w:pPr>
        <w:pStyle w:val="IQB-AnweisungenText"/>
        <w:spacing w:before="0"/>
        <w:rPr>
          <w:rFonts w:ascii="Arial" w:hAnsi="Arial"/>
          <w:sz w:val="22"/>
          <w:szCs w:val="22"/>
        </w:rPr>
      </w:pPr>
      <w:r>
        <w:rPr>
          <w:rFonts w:ascii="Arial" w:hAnsi="Arial"/>
          <w:sz w:val="22"/>
          <w:szCs w:val="22"/>
        </w:rPr>
        <w:t xml:space="preserve">Der Realitätsbezug „Straßenschild“ kann so verstanden im Sinne der ersten </w:t>
      </w:r>
      <w:proofErr w:type="spellStart"/>
      <w:r>
        <w:rPr>
          <w:rFonts w:ascii="Arial" w:hAnsi="Arial"/>
          <w:sz w:val="22"/>
          <w:szCs w:val="22"/>
        </w:rPr>
        <w:t>Winterschen</w:t>
      </w:r>
      <w:proofErr w:type="spellEnd"/>
      <w:r>
        <w:rPr>
          <w:rFonts w:ascii="Arial" w:hAnsi="Arial"/>
          <w:sz w:val="22"/>
          <w:szCs w:val="22"/>
        </w:rPr>
        <w:t xml:space="preserve"> Grunderfahrung</w:t>
      </w:r>
      <w:r>
        <w:rPr>
          <w:rStyle w:val="Funotenzeichen"/>
          <w:sz w:val="22"/>
        </w:rPr>
        <w:footnoteReference w:id="1"/>
      </w:r>
      <w:r>
        <w:rPr>
          <w:rFonts w:ascii="Arial" w:hAnsi="Arial"/>
          <w:sz w:val="22"/>
          <w:szCs w:val="22"/>
        </w:rPr>
        <w:t xml:space="preserve"> genutzt werden. Auf diese Grunderfahrung kann auch zur Differenzierung zwischen durchschnittlicher und momentaner Änderungsrate in höheren Klassenstufen zurückgegriffen werden. </w:t>
      </w:r>
    </w:p>
    <w:p w:rsidR="00687959" w:rsidRDefault="00687959" w:rsidP="00687959">
      <w:pPr>
        <w:pStyle w:val="IQB-AnweisungenText"/>
        <w:spacing w:before="0"/>
        <w:rPr>
          <w:rFonts w:ascii="Arial" w:hAnsi="Arial"/>
          <w:sz w:val="22"/>
          <w:szCs w:val="22"/>
        </w:rPr>
      </w:pPr>
      <w:r>
        <w:rPr>
          <w:rFonts w:ascii="Arial" w:hAnsi="Arial"/>
          <w:sz w:val="22"/>
          <w:szCs w:val="22"/>
        </w:rPr>
        <w:t>So kann auf einem konkreten Straßenverlauf verwiesen werden, der nicht über eine einheitliche Steigung bzw. ein einheitliches Gefälle verfügt. Die Fragen lautet dann: Welche Steigung bzw. welches Gefälle würde ein Straßenschild anzeigen? Welche Steigung lässt sich auf einen stark eingegrenzten Abschnitt des Streckenverlaufs ermitteln? Ebenso ist es möglich im Kontext Straßenverkehr eine Geschwindigkeitsmessung für die besagte Differenzierung zu nutzen.</w:t>
      </w:r>
    </w:p>
    <w:p w:rsidR="00687959" w:rsidRDefault="00687959" w:rsidP="00687959">
      <w:pPr>
        <w:pStyle w:val="IQB-AnweisungenText"/>
        <w:spacing w:before="0" w:after="120"/>
        <w:rPr>
          <w:rFonts w:ascii="Arial" w:hAnsi="Arial"/>
          <w:sz w:val="22"/>
          <w:szCs w:val="22"/>
        </w:rPr>
      </w:pPr>
      <w:r>
        <w:rPr>
          <w:rFonts w:ascii="Arial" w:hAnsi="Arial"/>
          <w:sz w:val="22"/>
          <w:szCs w:val="22"/>
        </w:rPr>
        <w:t xml:space="preserve">Der Kontext „Straßenverkehr“ bietet neben den hier genannten Möglichkeiten viele weitere Facetten für einen realitätsbezogenen Mathematikunterricht. Im Folgenden seien nur einige Beispiele für die Sekundarstufe I genannt: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170" w:type="dxa"/>
        </w:tblCellMar>
        <w:tblLook w:val="04A0" w:firstRow="1" w:lastRow="0" w:firstColumn="1" w:lastColumn="0" w:noHBand="0" w:noVBand="1"/>
      </w:tblPr>
      <w:tblGrid>
        <w:gridCol w:w="9210"/>
      </w:tblGrid>
      <w:tr w:rsidR="00687959" w:rsidTr="00687959">
        <w:tc>
          <w:tcPr>
            <w:tcW w:w="9210" w:type="dxa"/>
            <w:tcBorders>
              <w:top w:val="single" w:sz="4" w:space="0" w:color="auto"/>
              <w:left w:val="single" w:sz="4" w:space="0" w:color="auto"/>
              <w:bottom w:val="single" w:sz="4" w:space="0" w:color="auto"/>
              <w:right w:val="single" w:sz="4" w:space="0" w:color="auto"/>
            </w:tcBorders>
            <w:vAlign w:val="center"/>
            <w:hideMark/>
          </w:tcPr>
          <w:p w:rsidR="00687959" w:rsidRDefault="00687959" w:rsidP="00687959">
            <w:pPr>
              <w:pStyle w:val="IQB-AnweisungenText"/>
              <w:numPr>
                <w:ilvl w:val="0"/>
                <w:numId w:val="13"/>
              </w:numPr>
              <w:spacing w:after="60"/>
              <w:rPr>
                <w:rFonts w:ascii="Arial" w:hAnsi="Arial"/>
                <w:sz w:val="22"/>
                <w:szCs w:val="22"/>
              </w:rPr>
            </w:pPr>
            <w:r>
              <w:rPr>
                <w:rFonts w:ascii="Arial" w:hAnsi="Arial"/>
                <w:sz w:val="22"/>
                <w:szCs w:val="22"/>
              </w:rPr>
              <w:t xml:space="preserve">Jahnke, Th. (1996). Wie viele Gänge hat ein 21-Gang-Fahrrad?. In </w:t>
            </w:r>
            <w:proofErr w:type="spellStart"/>
            <w:r>
              <w:rPr>
                <w:rFonts w:ascii="Arial" w:hAnsi="Arial"/>
                <w:sz w:val="22"/>
                <w:szCs w:val="22"/>
              </w:rPr>
              <w:t>Bardy</w:t>
            </w:r>
            <w:proofErr w:type="spellEnd"/>
            <w:r>
              <w:rPr>
                <w:rFonts w:ascii="Arial" w:hAnsi="Arial"/>
                <w:sz w:val="22"/>
                <w:szCs w:val="22"/>
              </w:rPr>
              <w:t xml:space="preserve"> et al, </w:t>
            </w:r>
            <w:r>
              <w:rPr>
                <w:rFonts w:ascii="Arial" w:hAnsi="Arial"/>
                <w:i/>
                <w:sz w:val="22"/>
                <w:szCs w:val="22"/>
              </w:rPr>
              <w:t>Materialien für einen realitätsbezogenen Mathematikunterricht. Schriftenreihe der ISTRON-Gruppe</w:t>
            </w:r>
            <w:r>
              <w:rPr>
                <w:rFonts w:ascii="Arial" w:hAnsi="Arial"/>
                <w:sz w:val="22"/>
                <w:szCs w:val="22"/>
              </w:rPr>
              <w:t>. Band 3 (S. 23-29). Franzbecker: Hildesheim</w:t>
            </w:r>
          </w:p>
          <w:p w:rsidR="00687959" w:rsidRDefault="00687959" w:rsidP="00687959">
            <w:pPr>
              <w:pStyle w:val="IQB-AnweisungenText"/>
              <w:numPr>
                <w:ilvl w:val="0"/>
                <w:numId w:val="13"/>
              </w:numPr>
              <w:spacing w:after="60"/>
              <w:rPr>
                <w:rFonts w:ascii="Arial" w:hAnsi="Arial"/>
                <w:sz w:val="22"/>
                <w:szCs w:val="22"/>
              </w:rPr>
            </w:pPr>
            <w:r>
              <w:rPr>
                <w:rFonts w:ascii="Arial" w:hAnsi="Arial"/>
                <w:sz w:val="22"/>
                <w:szCs w:val="22"/>
              </w:rPr>
              <w:t xml:space="preserve">Öffentliche Verkehrsmittel, ab Klasse 6: </w:t>
            </w:r>
            <w:proofErr w:type="spellStart"/>
            <w:r>
              <w:rPr>
                <w:rFonts w:ascii="Arial" w:hAnsi="Arial"/>
                <w:sz w:val="22"/>
                <w:szCs w:val="22"/>
              </w:rPr>
              <w:t>Vernay</w:t>
            </w:r>
            <w:proofErr w:type="spellEnd"/>
            <w:r>
              <w:rPr>
                <w:rFonts w:ascii="Arial" w:hAnsi="Arial"/>
                <w:sz w:val="22"/>
                <w:szCs w:val="22"/>
              </w:rPr>
              <w:t xml:space="preserve">, R. (1995). Bruchrechnen in der Straßenbahn und im Intercity, </w:t>
            </w:r>
            <w:proofErr w:type="spellStart"/>
            <w:r>
              <w:rPr>
                <w:rFonts w:ascii="Arial" w:hAnsi="Arial"/>
                <w:i/>
                <w:sz w:val="22"/>
                <w:szCs w:val="22"/>
              </w:rPr>
              <w:t>mathematik</w:t>
            </w:r>
            <w:proofErr w:type="spellEnd"/>
            <w:r>
              <w:rPr>
                <w:rFonts w:ascii="Arial" w:hAnsi="Arial"/>
                <w:i/>
                <w:sz w:val="22"/>
                <w:szCs w:val="22"/>
              </w:rPr>
              <w:t xml:space="preserve"> lehren</w:t>
            </w:r>
            <w:r>
              <w:rPr>
                <w:rFonts w:ascii="Arial" w:hAnsi="Arial"/>
                <w:sz w:val="22"/>
                <w:szCs w:val="22"/>
              </w:rPr>
              <w:t>, 69, 8-11.</w:t>
            </w:r>
          </w:p>
          <w:p w:rsidR="00687959" w:rsidRDefault="00687959" w:rsidP="00687959">
            <w:pPr>
              <w:pStyle w:val="IQB-AnweisungenText"/>
              <w:numPr>
                <w:ilvl w:val="0"/>
                <w:numId w:val="13"/>
              </w:numPr>
              <w:spacing w:after="60"/>
              <w:rPr>
                <w:rFonts w:ascii="Arial" w:hAnsi="Arial"/>
                <w:sz w:val="22"/>
                <w:szCs w:val="22"/>
              </w:rPr>
            </w:pPr>
            <w:r>
              <w:rPr>
                <w:rFonts w:ascii="Arial" w:hAnsi="Arial"/>
                <w:sz w:val="22"/>
                <w:szCs w:val="22"/>
              </w:rPr>
              <w:t xml:space="preserve">Radarfalle, ab Klasse 6 (Proportionalität): Maaß, J. (2007). Schülerinnen entwickeln eine `Radarfalle In Herget et al, </w:t>
            </w:r>
            <w:r>
              <w:rPr>
                <w:rFonts w:ascii="Arial" w:hAnsi="Arial"/>
                <w:i/>
                <w:sz w:val="22"/>
                <w:szCs w:val="22"/>
              </w:rPr>
              <w:t xml:space="preserve">Materialien für einen realitätsbezogenen </w:t>
            </w:r>
            <w:r>
              <w:rPr>
                <w:rFonts w:ascii="Arial" w:hAnsi="Arial"/>
                <w:i/>
                <w:sz w:val="22"/>
                <w:szCs w:val="22"/>
              </w:rPr>
              <w:lastRenderedPageBreak/>
              <w:t>Mathematikunterricht. Schriftenreihe der ISTRON-Gruppe</w:t>
            </w:r>
            <w:r>
              <w:rPr>
                <w:rFonts w:ascii="Arial" w:hAnsi="Arial"/>
                <w:sz w:val="22"/>
                <w:szCs w:val="22"/>
              </w:rPr>
              <w:t>. Band 10, (S. 91-98). Franzbecker: Hildesheim</w:t>
            </w:r>
          </w:p>
          <w:p w:rsidR="00687959" w:rsidRDefault="00687959" w:rsidP="00687959">
            <w:pPr>
              <w:pStyle w:val="IQB-AnweisungenText"/>
              <w:numPr>
                <w:ilvl w:val="0"/>
                <w:numId w:val="13"/>
              </w:numPr>
              <w:spacing w:after="60"/>
              <w:rPr>
                <w:rFonts w:ascii="Arial" w:hAnsi="Arial"/>
                <w:sz w:val="22"/>
                <w:szCs w:val="22"/>
              </w:rPr>
            </w:pPr>
            <w:r>
              <w:rPr>
                <w:rFonts w:ascii="Arial" w:hAnsi="Arial"/>
                <w:sz w:val="22"/>
                <w:szCs w:val="22"/>
              </w:rPr>
              <w:t xml:space="preserve">Fahrpläne, ab Klasse 8 (Lineare Funktionen): Unterrichtseinheit Eisenbahn. In Becker et al. (1997), </w:t>
            </w:r>
            <w:r>
              <w:rPr>
                <w:rFonts w:ascii="Arial" w:hAnsi="Arial"/>
                <w:i/>
                <w:sz w:val="22"/>
                <w:szCs w:val="22"/>
              </w:rPr>
              <w:t>Anwendungsorientierter Mathematikunterricht in der Sekundarstufe I</w:t>
            </w:r>
            <w:r>
              <w:rPr>
                <w:rFonts w:ascii="Arial" w:hAnsi="Arial"/>
                <w:sz w:val="22"/>
                <w:szCs w:val="22"/>
              </w:rPr>
              <w:t>, (S. 79-95). Klinkhardt: Bad Heilbrunn.</w:t>
            </w:r>
          </w:p>
          <w:p w:rsidR="00687959" w:rsidRDefault="00687959" w:rsidP="00687959">
            <w:pPr>
              <w:pStyle w:val="IQB-AnweisungenText"/>
              <w:numPr>
                <w:ilvl w:val="0"/>
                <w:numId w:val="13"/>
              </w:numPr>
              <w:spacing w:after="60"/>
              <w:rPr>
                <w:rFonts w:ascii="Arial" w:hAnsi="Arial"/>
                <w:sz w:val="22"/>
                <w:szCs w:val="22"/>
              </w:rPr>
            </w:pPr>
            <w:r>
              <w:rPr>
                <w:rFonts w:ascii="Arial" w:hAnsi="Arial"/>
                <w:sz w:val="22"/>
                <w:szCs w:val="22"/>
              </w:rPr>
              <w:t xml:space="preserve">„Brückenbau“ in </w:t>
            </w:r>
            <w:proofErr w:type="spellStart"/>
            <w:r>
              <w:rPr>
                <w:rFonts w:ascii="Arial" w:hAnsi="Arial"/>
                <w:sz w:val="22"/>
                <w:szCs w:val="22"/>
              </w:rPr>
              <w:t>Greefrath</w:t>
            </w:r>
            <w:proofErr w:type="spellEnd"/>
            <w:r>
              <w:rPr>
                <w:rFonts w:ascii="Arial" w:hAnsi="Arial"/>
                <w:sz w:val="22"/>
                <w:szCs w:val="22"/>
              </w:rPr>
              <w:t xml:space="preserve">, G. (2007) </w:t>
            </w:r>
            <w:r>
              <w:rPr>
                <w:rFonts w:ascii="Arial" w:hAnsi="Arial"/>
                <w:i/>
                <w:sz w:val="22"/>
                <w:szCs w:val="22"/>
              </w:rPr>
              <w:t xml:space="preserve">Modellieren lernen mit offenen realitätsnahen Aufgaben </w:t>
            </w:r>
            <w:r>
              <w:rPr>
                <w:rFonts w:ascii="Arial" w:hAnsi="Arial"/>
                <w:sz w:val="22"/>
                <w:szCs w:val="22"/>
              </w:rPr>
              <w:t xml:space="preserve">(S. 80-85). </w:t>
            </w:r>
            <w:proofErr w:type="spellStart"/>
            <w:r>
              <w:rPr>
                <w:rFonts w:ascii="Arial" w:hAnsi="Arial"/>
                <w:sz w:val="22"/>
                <w:szCs w:val="22"/>
              </w:rPr>
              <w:t>Aulis</w:t>
            </w:r>
            <w:proofErr w:type="spellEnd"/>
            <w:r>
              <w:rPr>
                <w:rFonts w:ascii="Arial" w:hAnsi="Arial"/>
                <w:sz w:val="22"/>
                <w:szCs w:val="22"/>
              </w:rPr>
              <w:t xml:space="preserve"> Verlag </w:t>
            </w:r>
            <w:proofErr w:type="spellStart"/>
            <w:r>
              <w:rPr>
                <w:rFonts w:ascii="Arial" w:hAnsi="Arial"/>
                <w:sz w:val="22"/>
                <w:szCs w:val="22"/>
              </w:rPr>
              <w:t>Deubner</w:t>
            </w:r>
            <w:proofErr w:type="spellEnd"/>
            <w:r>
              <w:rPr>
                <w:rFonts w:ascii="Arial" w:hAnsi="Arial"/>
                <w:sz w:val="22"/>
                <w:szCs w:val="22"/>
              </w:rPr>
              <w:t>: Berlin</w:t>
            </w:r>
          </w:p>
          <w:p w:rsidR="00687959" w:rsidRDefault="00687959" w:rsidP="00687959">
            <w:pPr>
              <w:pStyle w:val="IQB-AnweisungenText"/>
              <w:numPr>
                <w:ilvl w:val="0"/>
                <w:numId w:val="13"/>
              </w:numPr>
              <w:spacing w:after="60"/>
              <w:rPr>
                <w:rFonts w:ascii="Arial" w:hAnsi="Arial"/>
                <w:color w:val="000000"/>
                <w:sz w:val="22"/>
                <w:szCs w:val="22"/>
              </w:rPr>
            </w:pPr>
            <w:r>
              <w:rPr>
                <w:rFonts w:ascii="Arial" w:hAnsi="Arial"/>
                <w:sz w:val="22"/>
                <w:szCs w:val="22"/>
              </w:rPr>
              <w:t xml:space="preserve">Jahnke, Th. (1997). Stunden im Stau – eine Modellrechnung. In: Blum et al. </w:t>
            </w:r>
            <w:r>
              <w:rPr>
                <w:rFonts w:ascii="Arial" w:hAnsi="Arial"/>
                <w:i/>
                <w:sz w:val="22"/>
                <w:szCs w:val="22"/>
              </w:rPr>
              <w:t>Materialien für einen realitätsbezogenen Mathematikunterricht. Schriftenreihe der ISTRON-Gruppe</w:t>
            </w:r>
            <w:r>
              <w:rPr>
                <w:rFonts w:ascii="Arial" w:hAnsi="Arial"/>
                <w:sz w:val="22"/>
                <w:szCs w:val="22"/>
              </w:rPr>
              <w:t xml:space="preserve">. </w:t>
            </w:r>
            <w:r>
              <w:rPr>
                <w:rFonts w:ascii="Arial" w:hAnsi="Arial"/>
                <w:color w:val="000000"/>
                <w:sz w:val="22"/>
                <w:szCs w:val="22"/>
              </w:rPr>
              <w:t>Band 4</w:t>
            </w:r>
            <w:r>
              <w:rPr>
                <w:rFonts w:ascii="Arial" w:hAnsi="Arial"/>
                <w:sz w:val="22"/>
                <w:szCs w:val="22"/>
              </w:rPr>
              <w:t xml:space="preserve"> (S. 70-81).</w:t>
            </w:r>
            <w:r>
              <w:rPr>
                <w:rFonts w:ascii="Arial" w:hAnsi="Arial"/>
                <w:color w:val="000000"/>
                <w:sz w:val="22"/>
                <w:szCs w:val="22"/>
              </w:rPr>
              <w:t xml:space="preserve"> Franzbecker: Hildesheim</w:t>
            </w:r>
          </w:p>
          <w:p w:rsidR="00687959" w:rsidRDefault="00687959" w:rsidP="00687959">
            <w:pPr>
              <w:pStyle w:val="IQB-AnweisungenText"/>
              <w:numPr>
                <w:ilvl w:val="0"/>
                <w:numId w:val="13"/>
              </w:numPr>
              <w:spacing w:after="60"/>
              <w:rPr>
                <w:rFonts w:ascii="Arial" w:hAnsi="Arial"/>
                <w:color w:val="000000"/>
                <w:sz w:val="22"/>
                <w:szCs w:val="22"/>
              </w:rPr>
            </w:pPr>
            <w:r>
              <w:rPr>
                <w:rFonts w:ascii="Arial" w:hAnsi="Arial"/>
                <w:color w:val="000000"/>
                <w:sz w:val="22"/>
                <w:szCs w:val="22"/>
              </w:rPr>
              <w:t>Die Aufgaben „Fahrrad“, „Benzinkosten“, „Reisekosten“, „Monatskarte“, „Pendler“, „Straßen</w:t>
            </w:r>
            <w:r>
              <w:rPr>
                <w:rFonts w:ascii="Arial" w:hAnsi="Arial"/>
                <w:color w:val="000000"/>
                <w:sz w:val="22"/>
                <w:szCs w:val="22"/>
              </w:rPr>
              <w:softHyphen/>
              <w:t xml:space="preserve">bahn“, „Car Check“, „Straßenschild“, „Autobahnschild“, „ICE“, „Neun Stunden im Stau“, „Autobahnauffahrt“, „Erdgasauto“, „Porsche“ und „Schwarzfahren“ In Maaß, J. (2007). </w:t>
            </w:r>
            <w:r>
              <w:rPr>
                <w:rFonts w:ascii="Arial" w:hAnsi="Arial"/>
                <w:i/>
                <w:color w:val="000000"/>
                <w:sz w:val="22"/>
                <w:szCs w:val="22"/>
              </w:rPr>
              <w:t>Mathematisches Modellieren. Aufgaben für die Sekundarstufe I.</w:t>
            </w:r>
            <w:r>
              <w:rPr>
                <w:rFonts w:ascii="Arial" w:hAnsi="Arial"/>
                <w:color w:val="000000"/>
                <w:sz w:val="22"/>
                <w:szCs w:val="22"/>
              </w:rPr>
              <w:t xml:space="preserve"> Cornelsen Scriptor: Berlin.</w:t>
            </w:r>
          </w:p>
          <w:p w:rsidR="00687959" w:rsidRDefault="00687959" w:rsidP="00687959">
            <w:pPr>
              <w:pStyle w:val="IQB-AnweisungenText"/>
              <w:numPr>
                <w:ilvl w:val="0"/>
                <w:numId w:val="13"/>
              </w:numPr>
              <w:spacing w:after="60"/>
              <w:rPr>
                <w:rFonts w:ascii="Arial" w:hAnsi="Arial"/>
                <w:color w:val="000000"/>
                <w:sz w:val="22"/>
                <w:szCs w:val="22"/>
              </w:rPr>
            </w:pPr>
            <w:r>
              <w:rPr>
                <w:rFonts w:ascii="Arial" w:hAnsi="Arial"/>
                <w:color w:val="000000"/>
                <w:sz w:val="22"/>
                <w:szCs w:val="22"/>
              </w:rPr>
              <w:t xml:space="preserve">Reale Probleme aus dem Wirklichkeitsbereich „Verkehr und Mobilität“ auf dem Bildungsserver Südtirols: </w:t>
            </w:r>
            <w:hyperlink r:id="rId8" w:history="1">
              <w:r w:rsidRPr="00687959">
                <w:rPr>
                  <w:rStyle w:val="Hyperlink"/>
                  <w:rFonts w:ascii="Arial" w:hAnsi="Arial"/>
                  <w:color w:val="000000"/>
                  <w:sz w:val="22"/>
                  <w:szCs w:val="22"/>
                  <w:u w:val="none"/>
                </w:rPr>
                <w:t>http://www.blikk.it/angebote/modellmathe</w:t>
              </w:r>
            </w:hyperlink>
            <w:r w:rsidRPr="00687959">
              <w:rPr>
                <w:rStyle w:val="Hyperlink"/>
                <w:rFonts w:ascii="Arial" w:hAnsi="Arial"/>
                <w:color w:val="000000"/>
                <w:sz w:val="22"/>
                <w:szCs w:val="22"/>
                <w:u w:val="none"/>
              </w:rPr>
              <w:t xml:space="preserve"> (letzter Zugriff am 22.09.2015).</w:t>
            </w:r>
          </w:p>
        </w:tc>
      </w:tr>
    </w:tbl>
    <w:p w:rsidR="00694A63" w:rsidRPr="005B2F65" w:rsidRDefault="00694A63" w:rsidP="00687959">
      <w:pPr>
        <w:pStyle w:val="IQB-AnweisungenText"/>
        <w:spacing w:before="0"/>
        <w:rPr>
          <w:sz w:val="22"/>
          <w:szCs w:val="22"/>
        </w:rPr>
      </w:pPr>
    </w:p>
    <w:sectPr w:rsidR="00694A63" w:rsidRPr="005B2F65" w:rsidSect="00DB65DC">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subsetted="1" w:fontKey="{1B82F777-5E5E-46B6-BAA9-8970EDE034EC}"/>
  </w:font>
  <w:font w:name="Arial">
    <w:panose1 w:val="020B0604020202020204"/>
    <w:charset w:val="00"/>
    <w:family w:val="swiss"/>
    <w:pitch w:val="variable"/>
    <w:sig w:usb0="E0002EFF" w:usb1="C000785B" w:usb2="00000009" w:usb3="00000000" w:csb0="000001FF" w:csb1="00000000"/>
    <w:embedRegular r:id="rId2" w:fontKey="{F00570A9-99C2-42A6-A006-E84410DA3D00}"/>
    <w:embedBold r:id="rId3" w:fontKey="{19D23E4C-22C4-4CBE-959D-A055D348C204}"/>
    <w:embedItalic r:id="rId4" w:fontKey="{2571ACC3-546D-46FF-BE3A-4CD639EEDFDD}"/>
    <w:embedBoldItalic r:id="rId5" w:fontKey="{EEAB9659-FE5E-4C81-9993-359CCF84F69A}"/>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 w:id="1">
    <w:p w:rsidR="00687959" w:rsidRDefault="00687959" w:rsidP="00687959">
      <w:pPr>
        <w:pStyle w:val="Funotentext"/>
      </w:pPr>
      <w:r>
        <w:rPr>
          <w:rStyle w:val="Funotenzeichen"/>
        </w:rPr>
        <w:footnoteRef/>
      </w:r>
      <w:r>
        <w:rPr>
          <w:rFonts w:cs="Arial"/>
        </w:rPr>
        <w:t xml:space="preserve"> Winter, H. (1996). Mathematikunterricht und Allgemeinbildung. </w:t>
      </w:r>
      <w:r>
        <w:rPr>
          <w:rFonts w:cs="Arial"/>
          <w:i/>
        </w:rPr>
        <w:t xml:space="preserve">Mitteilungen der Gesellschaft für </w:t>
      </w:r>
      <w:r>
        <w:rPr>
          <w:rFonts w:cs="Arial"/>
          <w:i/>
        </w:rPr>
        <w:br/>
        <w:t>Didaktik der Mathematik,</w:t>
      </w:r>
      <w:r>
        <w:rPr>
          <w:rFonts w:cs="Arial"/>
        </w:rPr>
        <w:t xml:space="preserve"> 61, 37- 46</w:t>
      </w:r>
      <w:r>
        <w:rPr>
          <w:rFonts w:ascii="Calibri" w:hAnsi="Calibri" w:cs="Calibri"/>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50F2028"/>
    <w:multiLevelType w:val="hybridMultilevel"/>
    <w:tmpl w:val="941442A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2"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2"/>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 w:numId="13">
    <w:abstractNumId w:val="11"/>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42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8795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8C550E"/>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82617"/>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4209"/>
    <o:shapelayout v:ext="edit">
      <o:idmap v:ext="edit" data="1"/>
    </o:shapelayout>
  </w:shapeDefaults>
  <w:decimalSymbol w:val=","/>
  <w:listSeparator w:val=";"/>
  <w14:docId w14:val="606D74ED"/>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character" w:styleId="Funotenzeichen">
    <w:name w:val="footnote reference"/>
    <w:rsid w:val="008C550E"/>
    <w:rPr>
      <w:vertAlign w:val="superscript"/>
    </w:rPr>
  </w:style>
  <w:style w:type="character" w:customStyle="1" w:styleId="Funotenanker">
    <w:name w:val="Fußnotenanker"/>
    <w:rsid w:val="008C550E"/>
    <w:rPr>
      <w:vertAlign w:val="superscript"/>
    </w:rPr>
  </w:style>
  <w:style w:type="paragraph" w:customStyle="1" w:styleId="Funote">
    <w:name w:val="Fußnote"/>
    <w:basedOn w:val="Standard"/>
    <w:rsid w:val="008C550E"/>
    <w:pPr>
      <w:suppressAutoHyphens/>
    </w:pPr>
    <w:rPr>
      <w:rFonts w:ascii="Arial" w:hAnsi="Arial"/>
      <w:sz w:val="18"/>
    </w:rPr>
  </w:style>
  <w:style w:type="paragraph" w:styleId="Funotentext">
    <w:name w:val="footnote text"/>
    <w:basedOn w:val="Standard"/>
    <w:link w:val="FunotentextZchn"/>
    <w:rsid w:val="00C82617"/>
    <w:rPr>
      <w:rFonts w:ascii="Arial" w:hAnsi="Arial"/>
      <w:sz w:val="20"/>
      <w:szCs w:val="20"/>
      <w:lang w:val="x-none" w:eastAsia="x-none"/>
    </w:rPr>
  </w:style>
  <w:style w:type="character" w:customStyle="1" w:styleId="FunotentextZchn">
    <w:name w:val="Fußnotentext Zchn"/>
    <w:basedOn w:val="Absatz-Standardschriftart"/>
    <w:link w:val="Funotentext"/>
    <w:rsid w:val="00C82617"/>
    <w:rPr>
      <w:rFonts w:ascii="Arial" w:hAnsi="Arial"/>
      <w:lang w:val="x-none" w:eastAsia="x-none"/>
    </w:rPr>
  </w:style>
  <w:style w:type="character" w:styleId="Hyperlink">
    <w:name w:val="Hyperlink"/>
    <w:uiPriority w:val="99"/>
    <w:semiHidden/>
    <w:unhideWhenUsed/>
    <w:rsid w:val="0068795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6772782">
      <w:bodyDiv w:val="1"/>
      <w:marLeft w:val="0"/>
      <w:marRight w:val="0"/>
      <w:marTop w:val="0"/>
      <w:marBottom w:val="0"/>
      <w:divBdr>
        <w:top w:val="none" w:sz="0" w:space="0" w:color="auto"/>
        <w:left w:val="none" w:sz="0" w:space="0" w:color="auto"/>
        <w:bottom w:val="none" w:sz="0" w:space="0" w:color="auto"/>
        <w:right w:val="none" w:sz="0" w:space="0" w:color="auto"/>
      </w:divBdr>
    </w:div>
    <w:div w:id="1162236386">
      <w:bodyDiv w:val="1"/>
      <w:marLeft w:val="0"/>
      <w:marRight w:val="0"/>
      <w:marTop w:val="0"/>
      <w:marBottom w:val="0"/>
      <w:divBdr>
        <w:top w:val="none" w:sz="0" w:space="0" w:color="auto"/>
        <w:left w:val="none" w:sz="0" w:space="0" w:color="auto"/>
        <w:bottom w:val="none" w:sz="0" w:space="0" w:color="auto"/>
        <w:right w:val="none" w:sz="0" w:space="0" w:color="auto"/>
      </w:divBdr>
    </w:div>
    <w:div w:id="1463647683">
      <w:bodyDiv w:val="1"/>
      <w:marLeft w:val="0"/>
      <w:marRight w:val="0"/>
      <w:marTop w:val="0"/>
      <w:marBottom w:val="0"/>
      <w:divBdr>
        <w:top w:val="none" w:sz="0" w:space="0" w:color="auto"/>
        <w:left w:val="none" w:sz="0" w:space="0" w:color="auto"/>
        <w:bottom w:val="none" w:sz="0" w:space="0" w:color="auto"/>
        <w:right w:val="none" w:sz="0" w:space="0" w:color="auto"/>
      </w:divBdr>
    </w:div>
    <w:div w:id="1500845581">
      <w:bodyDiv w:val="1"/>
      <w:marLeft w:val="0"/>
      <w:marRight w:val="0"/>
      <w:marTop w:val="0"/>
      <w:marBottom w:val="0"/>
      <w:divBdr>
        <w:top w:val="none" w:sz="0" w:space="0" w:color="auto"/>
        <w:left w:val="none" w:sz="0" w:space="0" w:color="auto"/>
        <w:bottom w:val="none" w:sz="0" w:space="0" w:color="auto"/>
        <w:right w:val="none" w:sz="0" w:space="0" w:color="auto"/>
      </w:divBdr>
    </w:div>
    <w:div w:id="1992980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blikk.it/angebote/modellmathe"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4B49D2-264D-4F92-A50A-B5C4E6BB08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810</Words>
  <Characters>6041</Characters>
  <Application>Microsoft Office Word</Application>
  <DocSecurity>0</DocSecurity>
  <Lines>50</Lines>
  <Paragraphs>13</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6838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2025-07-21T10:41:00Z</dcterms:created>
  <dcterms:modified xsi:type="dcterms:W3CDTF">2025-07-21T10:41:00Z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